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仿宋_GB2312"/>
          <w:b w:val="0"/>
          <w:sz w:val="32"/>
        </w:rPr>
        <w:t>涉执房地产处置司法评估专业技术评审工作底稿</w:t>
      </w:r>
    </w:p>
    <w:p>
      <w:r>
        <w:rPr>
          <w:rFonts w:ascii="Times New Roman" w:hAnsi="Times New Roman" w:eastAsia="仿宋_GB2312"/>
          <w:b w:val="0"/>
          <w:sz w:val="24"/>
        </w:rPr>
      </w:r>
    </w:p>
    <w:p>
      <w:pPr>
        <w:pStyle w:val="Heading1"/>
      </w:pPr>
      <w:r>
        <w:rPr>
          <w:rFonts w:ascii="Times New Roman" w:hAnsi="Times New Roman" w:eastAsia="黑体"/>
          <w:b/>
          <w:sz w:val="28"/>
        </w:rPr>
        <w:t>一、评审项目基本信息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3"/>
        <w:gridCol w:w="4533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委托专业技术评审单位</w:t>
            </w:r>
          </w:p>
        </w:tc>
        <w:tc>
          <w:tcPr>
            <w:tcW w:type="dxa" w:w="538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案件编号</w:t>
            </w:r>
          </w:p>
        </w:tc>
        <w:tc>
          <w:tcPr>
            <w:tcW w:type="dxa" w:w="538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异议人</w:t>
            </w:r>
          </w:p>
        </w:tc>
        <w:tc>
          <w:tcPr>
            <w:tcW w:type="dxa" w:w="538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被评审估价报告编号</w:t>
            </w:r>
          </w:p>
        </w:tc>
        <w:tc>
          <w:tcPr>
            <w:tcW w:type="dxa" w:w="538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出具报告的评估机构</w:t>
            </w:r>
          </w:p>
        </w:tc>
        <w:tc>
          <w:tcPr>
            <w:tcW w:type="dxa" w:w="538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评估总价（万元）</w:t>
            </w:r>
          </w:p>
        </w:tc>
        <w:tc>
          <w:tcPr>
            <w:tcW w:type="dxa" w:w="538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异议问题数</w:t>
            </w:r>
          </w:p>
        </w:tc>
        <w:tc>
          <w:tcPr>
            <w:tcW w:type="dxa" w:w="538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收到评审委托日期</w:t>
            </w:r>
          </w:p>
        </w:tc>
        <w:tc>
          <w:tcPr>
            <w:tcW w:type="dxa" w:w="538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评审完成日期</w:t>
            </w:r>
          </w:p>
        </w:tc>
        <w:tc>
          <w:tcPr>
            <w:tcW w:type="dxa" w:w="538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</w:tbl>
    <w:p>
      <w:pPr>
        <w:pStyle w:val="Heading1"/>
      </w:pPr>
      <w:r>
        <w:rPr>
          <w:rFonts w:ascii="Times New Roman" w:hAnsi="Times New Roman" w:eastAsia="黑体"/>
          <w:b/>
          <w:sz w:val="28"/>
        </w:rPr>
        <w:t>二、审阅材料清单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6"/>
        <w:gridCol w:w="2266"/>
        <w:gridCol w:w="2266"/>
        <w:gridCol w:w="2266"/>
      </w:tblGrid>
      <w:tr>
        <w:tc>
          <w:tcPr>
            <w:tcW w:type="dxa" w:w="2266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序号</w:t>
            </w:r>
          </w:p>
        </w:tc>
        <w:tc>
          <w:tcPr>
            <w:tcW w:type="dxa" w:w="2266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材料名称</w:t>
            </w:r>
          </w:p>
        </w:tc>
        <w:tc>
          <w:tcPr>
            <w:tcW w:type="dxa" w:w="2266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份数/页数</w:t>
            </w:r>
          </w:p>
        </w:tc>
        <w:tc>
          <w:tcPr>
            <w:tcW w:type="dxa" w:w="2266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备注</w:t>
            </w:r>
          </w:p>
        </w:tc>
      </w:tr>
      <w:tr>
        <w:tc>
          <w:tcPr>
            <w:tcW w:type="dxa" w:w="226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226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226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226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c>
          <w:tcPr>
            <w:tcW w:type="dxa" w:w="226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226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226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226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c>
          <w:tcPr>
            <w:tcW w:type="dxa" w:w="226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226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226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226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c>
          <w:tcPr>
            <w:tcW w:type="dxa" w:w="226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226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226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226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c>
          <w:tcPr>
            <w:tcW w:type="dxa" w:w="226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226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226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226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c>
          <w:tcPr>
            <w:tcW w:type="dxa" w:w="226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226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226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  <w:tc>
          <w:tcPr>
            <w:tcW w:type="dxa" w:w="226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</w:tbl>
    <w:p>
      <w:r>
        <w:rPr>
          <w:rFonts w:ascii="Times New Roman" w:hAnsi="Times New Roman" w:eastAsia="仿宋_GB2312"/>
          <w:b w:val="0"/>
          <w:sz w:val="21"/>
        </w:rPr>
        <w:t>提示：评估技术报告或评估工作底稿为法定送审材料（法办〔2019〕364号§7）；评估机构未按期提交的，由行业协会责令其在五个工作日内提交，仍未提交的函复人民法院。</w:t>
      </w:r>
    </w:p>
    <w:p>
      <w:pPr>
        <w:pStyle w:val="Heading1"/>
      </w:pPr>
      <w:r>
        <w:rPr>
          <w:rFonts w:ascii="Times New Roman" w:hAnsi="Times New Roman" w:eastAsia="黑体"/>
          <w:b/>
          <w:sz w:val="28"/>
        </w:rPr>
        <w:t>三、评审程序记录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3"/>
        <w:gridCol w:w="4533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收到评审委托日期</w:t>
            </w:r>
          </w:p>
        </w:tc>
        <w:tc>
          <w:tcPr>
            <w:tcW w:type="dxa" w:w="538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专家组组建日期（收到后5个工作日内，≥3人单数）</w:t>
            </w:r>
          </w:p>
        </w:tc>
        <w:tc>
          <w:tcPr>
            <w:tcW w:type="dxa" w:w="538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集中评审日期（组建后10个工作日内，可延≤10个工作日）</w:t>
            </w:r>
          </w:p>
        </w:tc>
        <w:tc>
          <w:tcPr>
            <w:tcW w:type="dxa" w:w="538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责令补交技术报告/底稿情况（5个工作日）</w:t>
            </w:r>
          </w:p>
        </w:tc>
        <w:tc>
          <w:tcPr>
            <w:tcW w:type="dxa" w:w="538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实地查勘记录（38号§12(二)）</w:t>
            </w:r>
          </w:p>
        </w:tc>
        <w:tc>
          <w:tcPr>
            <w:tcW w:type="dxa" w:w="538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市场调研记录（38号§12(三)）</w:t>
            </w:r>
          </w:p>
        </w:tc>
        <w:tc>
          <w:tcPr>
            <w:tcW w:type="dxa" w:w="538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延期说明</w:t>
            </w:r>
          </w:p>
        </w:tc>
        <w:tc>
          <w:tcPr>
            <w:tcW w:type="dxa" w:w="538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</w:tbl>
    <w:p>
      <w:pPr>
        <w:pStyle w:val="Heading1"/>
      </w:pPr>
      <w:r>
        <w:rPr>
          <w:rFonts w:ascii="Times New Roman" w:hAnsi="Times New Roman" w:eastAsia="黑体"/>
          <w:b/>
          <w:sz w:val="28"/>
        </w:rPr>
        <w:t>四、专家个人评审意见</w:t>
      </w:r>
    </w:p>
    <w:p>
      <w:pPr>
        <w:ind w:firstLine="480"/>
      </w:pPr>
      <w:r>
        <w:rPr>
          <w:rFonts w:ascii="Times New Roman" w:hAnsi="Times New Roman" w:eastAsia="仿宋_GB2312"/>
          <w:b w:val="0"/>
          <w:sz w:val="24"/>
        </w:rPr>
        <w:t>（每位专家填写一份；专家须执业满5年（364号§4），并完成第五条回避自查后填写。）</w:t>
      </w:r>
    </w:p>
    <w:p>
      <w:pPr>
        <w:pStyle w:val="Heading2"/>
      </w:pPr>
      <w:r>
        <w:rPr>
          <w:rFonts w:ascii="Times New Roman" w:hAnsi="Times New Roman" w:eastAsia="黑体"/>
          <w:b/>
          <w:sz w:val="24"/>
        </w:rPr>
        <w:t>专家1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3"/>
        <w:gridCol w:w="4533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姓名</w:t>
            </w:r>
          </w:p>
        </w:tc>
        <w:tc>
          <w:tcPr>
            <w:tcW w:type="dxa" w:w="538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执业注册号</w:t>
            </w:r>
          </w:p>
        </w:tc>
        <w:tc>
          <w:tcPr>
            <w:tcW w:type="dxa" w:w="538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执业年限（须≥5年）</w:t>
            </w:r>
          </w:p>
        </w:tc>
        <w:tc>
          <w:tcPr>
            <w:tcW w:type="dxa" w:w="538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</w:tbl>
    <w:p>
      <w:r>
        <w:rPr>
          <w:rFonts w:ascii="Times New Roman" w:hAnsi="Times New Roman" w:eastAsia="仿宋_GB2312"/>
          <w:b w:val="0"/>
          <w:sz w:val="24"/>
        </w:rPr>
        <w:t>回避自查：□ 已完成，无应回避情形　（九种情形见第五条）</w:t>
      </w:r>
    </w:p>
    <w:p>
      <w:r>
        <w:rPr>
          <w:rFonts w:ascii="Times New Roman" w:hAnsi="Times New Roman" w:eastAsia="仿宋_GB2312"/>
          <w:b w:val="0"/>
          <w:sz w:val="24"/>
        </w:rPr>
        <w:t>对异议问题1的意见：</w:t>
      </w:r>
    </w:p>
    <w:p>
      <w:r>
        <w:rPr>
          <w:rFonts w:ascii="Times New Roman" w:hAnsi="Times New Roman" w:eastAsia="仿宋_GB2312"/>
          <w:b w:val="0"/>
          <w:sz w:val="24"/>
        </w:rPr>
        <w:t>对异议问题2的意见：</w:t>
      </w:r>
    </w:p>
    <w:p>
      <w:r>
        <w:rPr>
          <w:rFonts w:ascii="Times New Roman" w:hAnsi="Times New Roman" w:eastAsia="仿宋_GB2312"/>
          <w:b w:val="0"/>
          <w:sz w:val="24"/>
        </w:rPr>
        <w:t>对异议问题3的意见：</w:t>
      </w:r>
    </w:p>
    <w:p>
      <w:r>
        <w:rPr>
          <w:rFonts w:ascii="Times New Roman" w:hAnsi="Times New Roman" w:eastAsia="仿宋_GB2312"/>
          <w:b w:val="0"/>
          <w:sz w:val="24"/>
        </w:rPr>
        <w:t>其他意见（如有）：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3"/>
        <w:gridCol w:w="4533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引用依据条款</w:t>
            </w:r>
          </w:p>
        </w:tc>
        <w:tc>
          <w:tcPr>
            <w:tcW w:type="dxa" w:w="538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专家签名</w:t>
            </w:r>
          </w:p>
        </w:tc>
        <w:tc>
          <w:tcPr>
            <w:tcW w:type="dxa" w:w="538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日期</w:t>
            </w:r>
          </w:p>
        </w:tc>
        <w:tc>
          <w:tcPr>
            <w:tcW w:type="dxa" w:w="538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</w:tbl>
    <w:p>
      <w:pPr>
        <w:pStyle w:val="Heading2"/>
      </w:pPr>
      <w:r>
        <w:rPr>
          <w:rFonts w:ascii="Times New Roman" w:hAnsi="Times New Roman" w:eastAsia="黑体"/>
          <w:b/>
          <w:sz w:val="24"/>
        </w:rPr>
        <w:t>专家2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3"/>
        <w:gridCol w:w="4533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姓名</w:t>
            </w:r>
          </w:p>
        </w:tc>
        <w:tc>
          <w:tcPr>
            <w:tcW w:type="dxa" w:w="538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执业注册号</w:t>
            </w:r>
          </w:p>
        </w:tc>
        <w:tc>
          <w:tcPr>
            <w:tcW w:type="dxa" w:w="538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执业年限（须≥5年）</w:t>
            </w:r>
          </w:p>
        </w:tc>
        <w:tc>
          <w:tcPr>
            <w:tcW w:type="dxa" w:w="538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</w:tbl>
    <w:p>
      <w:r>
        <w:rPr>
          <w:rFonts w:ascii="Times New Roman" w:hAnsi="Times New Roman" w:eastAsia="仿宋_GB2312"/>
          <w:b w:val="0"/>
          <w:sz w:val="24"/>
        </w:rPr>
        <w:t>回避自查：□ 已完成，无应回避情形　（九种情形见第五条）</w:t>
      </w:r>
    </w:p>
    <w:p>
      <w:r>
        <w:rPr>
          <w:rFonts w:ascii="Times New Roman" w:hAnsi="Times New Roman" w:eastAsia="仿宋_GB2312"/>
          <w:b w:val="0"/>
          <w:sz w:val="24"/>
        </w:rPr>
        <w:t>对异议问题1的意见：</w:t>
      </w:r>
    </w:p>
    <w:p>
      <w:r>
        <w:rPr>
          <w:rFonts w:ascii="Times New Roman" w:hAnsi="Times New Roman" w:eastAsia="仿宋_GB2312"/>
          <w:b w:val="0"/>
          <w:sz w:val="24"/>
        </w:rPr>
        <w:t>对异议问题2的意见：</w:t>
      </w:r>
    </w:p>
    <w:p>
      <w:r>
        <w:rPr>
          <w:rFonts w:ascii="Times New Roman" w:hAnsi="Times New Roman" w:eastAsia="仿宋_GB2312"/>
          <w:b w:val="0"/>
          <w:sz w:val="24"/>
        </w:rPr>
        <w:t>对异议问题3的意见：</w:t>
      </w:r>
    </w:p>
    <w:p>
      <w:r>
        <w:rPr>
          <w:rFonts w:ascii="Times New Roman" w:hAnsi="Times New Roman" w:eastAsia="仿宋_GB2312"/>
          <w:b w:val="0"/>
          <w:sz w:val="24"/>
        </w:rPr>
        <w:t>其他意见（如有）：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3"/>
        <w:gridCol w:w="4533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引用依据条款</w:t>
            </w:r>
          </w:p>
        </w:tc>
        <w:tc>
          <w:tcPr>
            <w:tcW w:type="dxa" w:w="538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专家签名</w:t>
            </w:r>
          </w:p>
        </w:tc>
        <w:tc>
          <w:tcPr>
            <w:tcW w:type="dxa" w:w="538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日期</w:t>
            </w:r>
          </w:p>
        </w:tc>
        <w:tc>
          <w:tcPr>
            <w:tcW w:type="dxa" w:w="538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</w:tbl>
    <w:p>
      <w:pPr>
        <w:pStyle w:val="Heading2"/>
      </w:pPr>
      <w:r>
        <w:rPr>
          <w:rFonts w:ascii="Times New Roman" w:hAnsi="Times New Roman" w:eastAsia="黑体"/>
          <w:b/>
          <w:sz w:val="24"/>
        </w:rPr>
        <w:t>专家3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3"/>
        <w:gridCol w:w="4533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姓名</w:t>
            </w:r>
          </w:p>
        </w:tc>
        <w:tc>
          <w:tcPr>
            <w:tcW w:type="dxa" w:w="538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执业注册号</w:t>
            </w:r>
          </w:p>
        </w:tc>
        <w:tc>
          <w:tcPr>
            <w:tcW w:type="dxa" w:w="538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执业年限（须≥5年）</w:t>
            </w:r>
          </w:p>
        </w:tc>
        <w:tc>
          <w:tcPr>
            <w:tcW w:type="dxa" w:w="538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</w:tbl>
    <w:p>
      <w:r>
        <w:rPr>
          <w:rFonts w:ascii="Times New Roman" w:hAnsi="Times New Roman" w:eastAsia="仿宋_GB2312"/>
          <w:b w:val="0"/>
          <w:sz w:val="24"/>
        </w:rPr>
        <w:t>回避自查：□ 已完成，无应回避情形　（九种情形见第五条）</w:t>
      </w:r>
    </w:p>
    <w:p>
      <w:r>
        <w:rPr>
          <w:rFonts w:ascii="Times New Roman" w:hAnsi="Times New Roman" w:eastAsia="仿宋_GB2312"/>
          <w:b w:val="0"/>
          <w:sz w:val="24"/>
        </w:rPr>
        <w:t>对异议问题1的意见：</w:t>
      </w:r>
    </w:p>
    <w:p>
      <w:r>
        <w:rPr>
          <w:rFonts w:ascii="Times New Roman" w:hAnsi="Times New Roman" w:eastAsia="仿宋_GB2312"/>
          <w:b w:val="0"/>
          <w:sz w:val="24"/>
        </w:rPr>
        <w:t>对异议问题2的意见：</w:t>
      </w:r>
    </w:p>
    <w:p>
      <w:r>
        <w:rPr>
          <w:rFonts w:ascii="Times New Roman" w:hAnsi="Times New Roman" w:eastAsia="仿宋_GB2312"/>
          <w:b w:val="0"/>
          <w:sz w:val="24"/>
        </w:rPr>
        <w:t>对异议问题3的意见：</w:t>
      </w:r>
    </w:p>
    <w:p>
      <w:r>
        <w:rPr>
          <w:rFonts w:ascii="Times New Roman" w:hAnsi="Times New Roman" w:eastAsia="仿宋_GB2312"/>
          <w:b w:val="0"/>
          <w:sz w:val="24"/>
        </w:rPr>
        <w:t>其他意见（如有）：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3"/>
        <w:gridCol w:w="4533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引用依据条款</w:t>
            </w:r>
          </w:p>
        </w:tc>
        <w:tc>
          <w:tcPr>
            <w:tcW w:type="dxa" w:w="538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专家签名</w:t>
            </w:r>
          </w:p>
        </w:tc>
        <w:tc>
          <w:tcPr>
            <w:tcW w:type="dxa" w:w="538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日期</w:t>
            </w:r>
          </w:p>
        </w:tc>
        <w:tc>
          <w:tcPr>
            <w:tcW w:type="dxa" w:w="5386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</w:tbl>
    <w:p>
      <w:pPr>
        <w:pStyle w:val="Heading1"/>
      </w:pPr>
      <w:r>
        <w:rPr>
          <w:rFonts w:ascii="Times New Roman" w:hAnsi="Times New Roman" w:eastAsia="黑体"/>
          <w:b/>
          <w:sz w:val="28"/>
        </w:rPr>
        <w:t>五、回避自查清单（法办〔2019〕364号§10）</w:t>
      </w:r>
    </w:p>
    <w:p>
      <w:r>
        <w:rPr>
          <w:rFonts w:ascii="Times New Roman" w:hAnsi="Times New Roman" w:eastAsia="仿宋_GB2312"/>
          <w:b w:val="0"/>
          <w:sz w:val="24"/>
        </w:rPr>
        <w:t>（1）是本案当事人、利害关系人、诉讼代理人或当事人、利害关系人、诉讼代理人近亲属的。　□否　□是</w:t>
      </w:r>
    </w:p>
    <w:p>
      <w:r>
        <w:rPr>
          <w:rFonts w:ascii="Times New Roman" w:hAnsi="Times New Roman" w:eastAsia="仿宋_GB2312"/>
          <w:b w:val="0"/>
          <w:sz w:val="24"/>
        </w:rPr>
        <w:t>（2）与本案当事人、利害关系人、诉讼代理人有其他关系，可能影响专业技术评审的。　□否　□是</w:t>
      </w:r>
    </w:p>
    <w:p>
      <w:r>
        <w:rPr>
          <w:rFonts w:ascii="Times New Roman" w:hAnsi="Times New Roman" w:eastAsia="仿宋_GB2312"/>
          <w:b w:val="0"/>
          <w:sz w:val="24"/>
        </w:rPr>
        <w:t>（3）与本案有利害关系的。　□否　□是</w:t>
      </w:r>
    </w:p>
    <w:p>
      <w:r>
        <w:rPr>
          <w:rFonts w:ascii="Times New Roman" w:hAnsi="Times New Roman" w:eastAsia="仿宋_GB2312"/>
          <w:b w:val="0"/>
          <w:sz w:val="24"/>
        </w:rPr>
        <w:t>（4）与评估对象有利害关系的。　□否　□是</w:t>
      </w:r>
    </w:p>
    <w:p>
      <w:r>
        <w:rPr>
          <w:rFonts w:ascii="Times New Roman" w:hAnsi="Times New Roman" w:eastAsia="仿宋_GB2312"/>
          <w:b w:val="0"/>
          <w:sz w:val="24"/>
        </w:rPr>
        <w:t>（5）除受行政部门委托外，近五年曾参与过对评估对象的评估工作的。　□否　□是</w:t>
      </w:r>
    </w:p>
    <w:p>
      <w:r>
        <w:rPr>
          <w:rFonts w:ascii="Times New Roman" w:hAnsi="Times New Roman" w:eastAsia="仿宋_GB2312"/>
          <w:b w:val="0"/>
          <w:sz w:val="24"/>
        </w:rPr>
        <w:t>（6）本人或所在评估机构在过去五年曾为当事人、利害关系人提供过评估服务的。　□否　□是</w:t>
      </w:r>
    </w:p>
    <w:p>
      <w:r>
        <w:rPr>
          <w:rFonts w:ascii="Times New Roman" w:hAnsi="Times New Roman" w:eastAsia="仿宋_GB2312"/>
          <w:b w:val="0"/>
          <w:sz w:val="24"/>
        </w:rPr>
        <w:t>（7）近五年曾经或现登记、注册在出具评估报告的评估机构的。　□否　□是</w:t>
      </w:r>
    </w:p>
    <w:p>
      <w:r>
        <w:rPr>
          <w:rFonts w:ascii="Times New Roman" w:hAnsi="Times New Roman" w:eastAsia="仿宋_GB2312"/>
          <w:b w:val="0"/>
          <w:sz w:val="24"/>
        </w:rPr>
        <w:t>（8）与评估报告署名的评估人员有近亲属关系，或有其他关系可能影响专业技术评审的。　□否　□是</w:t>
      </w:r>
    </w:p>
    <w:p>
      <w:r>
        <w:rPr>
          <w:rFonts w:ascii="Times New Roman" w:hAnsi="Times New Roman" w:eastAsia="仿宋_GB2312"/>
          <w:b w:val="0"/>
          <w:sz w:val="24"/>
        </w:rPr>
        <w:t>（9）可能影响专业技术评审的其他情形。　□否　□是</w:t>
      </w:r>
    </w:p>
    <w:p>
      <w:pPr>
        <w:ind w:firstLine="480"/>
      </w:pPr>
      <w:r>
        <w:rPr>
          <w:rFonts w:ascii="Times New Roman" w:hAnsi="Times New Roman" w:eastAsia="仿宋_GB2312"/>
          <w:b w:val="0"/>
          <w:sz w:val="21"/>
        </w:rPr>
        <w:t>任一情形勾选“是”的专家应当回避，由组织评审单位更换专家组成员。</w:t>
      </w:r>
    </w:p>
    <w:p>
      <w:pPr>
        <w:pStyle w:val="Heading1"/>
      </w:pPr>
      <w:r>
        <w:rPr>
          <w:rFonts w:ascii="Times New Roman" w:hAnsi="Times New Roman" w:eastAsia="黑体"/>
          <w:b/>
          <w:sz w:val="28"/>
        </w:rPr>
        <w:t>六、评审结论与签字</w:t>
      </w:r>
    </w:p>
    <w:p>
      <w:r>
        <w:rPr>
          <w:rFonts w:ascii="Times New Roman" w:hAnsi="Times New Roman" w:eastAsia="仿宋_GB2312"/>
          <w:b w:val="0"/>
          <w:sz w:val="24"/>
        </w:rPr>
        <w:t>专家组评审结论（与《专业技术评审报告》结论一致）：</w:t>
      </w:r>
    </w:p>
    <w:p>
      <w:pPr>
        <w:ind w:firstLine="480"/>
      </w:pPr>
      <w:r>
        <w:rPr>
          <w:rFonts w:ascii="Times New Roman" w:hAnsi="Times New Roman" w:eastAsia="仿宋_GB2312"/>
          <w:b w:val="0"/>
          <w:sz w:val="24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33"/>
        <w:gridCol w:w="4533"/>
      </w:tblGrid>
      <w:tr>
        <w:tc>
          <w:tcPr>
            <w:tcW w:type="dxa" w:w="3402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专家组组长（签字）：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专家（签字）：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  <w:tr>
        <w:tc>
          <w:tcPr>
            <w:tcW w:type="dxa" w:w="3402"/>
          </w:tcPr>
          <w:p>
            <w:r>
              <w:rPr>
                <w:rFonts w:ascii="Times New Roman" w:hAnsi="Times New Roman" w:eastAsia="黑体"/>
                <w:b/>
                <w:sz w:val="21"/>
              </w:rPr>
              <w:t>专家（签字）：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 w:eastAsia="仿宋_GB2312"/>
                <w:b w:val="0"/>
                <w:sz w:val="21"/>
              </w:rPr>
            </w:r>
          </w:p>
        </w:tc>
      </w:tr>
    </w:tbl>
    <w:p>
      <w:r>
        <w:rPr>
          <w:rFonts w:ascii="Times New Roman" w:hAnsi="Times New Roman" w:eastAsia="仿宋_GB2312"/>
          <w:b w:val="0"/>
          <w:sz w:val="24"/>
        </w:rPr>
      </w:r>
    </w:p>
    <w:p>
      <w:pPr>
        <w:jc w:val="right"/>
      </w:pPr>
      <w:r>
        <w:rPr>
          <w:rFonts w:ascii="Times New Roman" w:hAnsi="Times New Roman" w:eastAsia="仿宋_GB2312"/>
          <w:b w:val="0"/>
          <w:sz w:val="24"/>
        </w:rPr>
        <w:t>智能评估系统stone工作室</w:t>
      </w:r>
    </w:p>
    <w:p>
      <w:pPr>
        <w:jc w:val="right"/>
      </w:pPr>
      <w:r>
        <w:rPr>
          <w:rFonts w:ascii="Times New Roman" w:hAnsi="Times New Roman" w:eastAsia="仿宋_GB2312"/>
          <w:b w:val="0"/>
          <w:sz w:val="24"/>
        </w:rPr>
        <w:t xml:space="preserve">　　年　　月　　日</w:t>
      </w:r>
    </w:p>
    <w:p>
      <w:pPr>
        <w:pStyle w:val="Heading1"/>
      </w:pPr>
      <w:r>
        <w:rPr>
          <w:rFonts w:ascii="Times New Roman" w:hAnsi="Times New Roman" w:eastAsia="黑体"/>
          <w:b/>
          <w:sz w:val="28"/>
        </w:rPr>
        <w:t>附注</w:t>
      </w:r>
    </w:p>
    <w:p>
      <w:r>
        <w:rPr>
          <w:rFonts w:ascii="Times New Roman" w:hAnsi="Times New Roman" w:eastAsia="仿宋_GB2312"/>
          <w:b w:val="0"/>
          <w:sz w:val="21"/>
        </w:rPr>
        <w:t>1. 本工作底稿与《涉执房地产处置司法评估专业技术评审报告》一并提交人民法院（法办〔2019〕364号§14）。</w:t>
      </w:r>
    </w:p>
    <w:p>
      <w:r>
        <w:rPr>
          <w:rFonts w:ascii="Times New Roman" w:hAnsi="Times New Roman" w:eastAsia="仿宋_GB2312"/>
          <w:b w:val="0"/>
          <w:sz w:val="21"/>
        </w:rPr>
        <w:t>2. 评审工作材料保存不少于15年（中房学〔2021〕38号§19）。</w:t>
      </w:r>
    </w:p>
    <w:p>
      <w:r>
        <w:rPr>
          <w:rFonts w:ascii="Times New Roman" w:hAnsi="Times New Roman" w:eastAsia="仿宋_GB2312"/>
          <w:b w:val="0"/>
          <w:sz w:val="21"/>
        </w:rPr>
        <w:t>3. 评审费由异议人垫付（法办〔2019〕364号§15），金额按中房学〔2021〕38号附件2差额定率分档累进计算，详见《评审费计算器（38号附件2差额定率七档）.xlsx》；异地查勘差旅费另行结算。</w:t>
      </w:r>
    </w:p>
    <w:sectPr w:rsidR="00FC693F" w:rsidRPr="0006063C" w:rsidSect="00034616">
      <w:pgSz w:w="12240" w:h="15840"/>
      <w:pgMar w:top="1440" w:right="1587" w:bottom="1440" w:left="158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